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0E3D281" w:rsidP="20262B22" w:rsidRDefault="10E3D281" w14:paraId="0C1A32A0" w14:textId="61B6B660">
      <w:pPr>
        <w:pStyle w:val="Normal"/>
        <w:suppressLineNumbers w:val="0"/>
        <w:shd w:val="clear" w:color="auto" w:fill="FFFFFF" w:themeFill="background1"/>
        <w:bidi w:val="0"/>
        <w:spacing w:before="0" w:beforeAutospacing="off" w:after="0" w:afterAutospacing="off" w:line="279" w:lineRule="auto"/>
        <w:ind w:left="0" w:right="0"/>
        <w:jc w:val="left"/>
        <w:rPr>
          <w:rFonts w:ascii="Calibri" w:hAnsi="Calibri" w:eastAsia="Calibri" w:cs="Calibri"/>
          <w:b w:val="0"/>
          <w:bCs w:val="0"/>
          <w:i w:val="1"/>
          <w:iCs w:val="1"/>
          <w:caps w:val="0"/>
          <w:smallCaps w:val="0"/>
          <w:noProof w:val="0"/>
          <w:color w:val="242424"/>
          <w:sz w:val="22"/>
          <w:szCs w:val="22"/>
          <w:lang w:val="en-US"/>
        </w:rPr>
      </w:pPr>
      <w:r w:rsidRPr="20262B22" w:rsidR="5F8256F9">
        <w:rPr>
          <w:rFonts w:ascii="Calibri" w:hAnsi="Calibri" w:eastAsia="Calibri" w:cs="Calibri"/>
          <w:b w:val="1"/>
          <w:bCs w:val="1"/>
          <w:i w:val="1"/>
          <w:iCs w:val="1"/>
          <w:caps w:val="0"/>
          <w:smallCaps w:val="0"/>
          <w:noProof w:val="0"/>
          <w:color w:val="242424"/>
          <w:sz w:val="22"/>
          <w:szCs w:val="22"/>
          <w:lang w:val="en-US"/>
        </w:rPr>
        <w:t xml:space="preserve">Please note: </w:t>
      </w:r>
      <w:r w:rsidRPr="20262B22" w:rsidR="20897127">
        <w:rPr>
          <w:rFonts w:ascii="Calibri" w:hAnsi="Calibri" w:eastAsia="Calibri" w:cs="Calibri"/>
          <w:b w:val="0"/>
          <w:bCs w:val="0"/>
          <w:i w:val="1"/>
          <w:iCs w:val="1"/>
          <w:caps w:val="0"/>
          <w:smallCaps w:val="0"/>
          <w:noProof w:val="0"/>
          <w:color w:val="242424"/>
          <w:sz w:val="22"/>
          <w:szCs w:val="22"/>
          <w:lang w:val="en-US"/>
        </w:rPr>
        <w:t xml:space="preserve">There will be a cross-core collaborative session at the Spring 2025 ADRC meeting including the Biomarker, Imaging, and Clinical Core Steering Committees which will focus on using </w:t>
      </w:r>
      <w:r w:rsidRPr="20262B22" w:rsidR="05B5B69B">
        <w:rPr>
          <w:rFonts w:ascii="Calibri" w:hAnsi="Calibri" w:eastAsia="Calibri" w:cs="Calibri"/>
          <w:b w:val="0"/>
          <w:bCs w:val="0"/>
          <w:i w:val="1"/>
          <w:iCs w:val="1"/>
          <w:caps w:val="0"/>
          <w:smallCaps w:val="0"/>
          <w:noProof w:val="0"/>
          <w:color w:val="242424"/>
          <w:sz w:val="22"/>
          <w:szCs w:val="22"/>
          <w:lang w:val="en-US"/>
        </w:rPr>
        <w:t xml:space="preserve">biomarkers in UDSv4. </w:t>
      </w:r>
      <w:r w:rsidRPr="20262B22" w:rsidR="5BBA91E5">
        <w:rPr>
          <w:rFonts w:ascii="Calibri" w:hAnsi="Calibri" w:eastAsia="Calibri" w:cs="Calibri"/>
          <w:b w:val="0"/>
          <w:bCs w:val="0"/>
          <w:i w:val="1"/>
          <w:iCs w:val="1"/>
          <w:caps w:val="0"/>
          <w:smallCaps w:val="0"/>
          <w:noProof w:val="0"/>
          <w:color w:val="242424"/>
          <w:sz w:val="22"/>
          <w:szCs w:val="22"/>
          <w:lang w:val="en-US"/>
        </w:rPr>
        <w:t xml:space="preserve">Any feedback that we receive </w:t>
      </w:r>
      <w:r w:rsidRPr="20262B22" w:rsidR="6019BD93">
        <w:rPr>
          <w:rFonts w:ascii="Calibri" w:hAnsi="Calibri" w:eastAsia="Calibri" w:cs="Calibri"/>
          <w:b w:val="0"/>
          <w:bCs w:val="0"/>
          <w:i w:val="1"/>
          <w:iCs w:val="1"/>
          <w:caps w:val="0"/>
          <w:smallCaps w:val="0"/>
          <w:noProof w:val="0"/>
          <w:color w:val="242424"/>
          <w:sz w:val="22"/>
          <w:szCs w:val="22"/>
          <w:lang w:val="en-US"/>
        </w:rPr>
        <w:t xml:space="preserve">after this meeting and as well as any suggested changes that arise due to the </w:t>
      </w:r>
      <w:r w:rsidRPr="20262B22" w:rsidR="6F093B11">
        <w:rPr>
          <w:rFonts w:ascii="Calibri" w:hAnsi="Calibri" w:eastAsia="Calibri" w:cs="Calibri"/>
          <w:b w:val="0"/>
          <w:bCs w:val="0"/>
          <w:i w:val="1"/>
          <w:iCs w:val="1"/>
          <w:caps w:val="0"/>
          <w:smallCaps w:val="0"/>
          <w:noProof w:val="0"/>
          <w:color w:val="242424"/>
          <w:sz w:val="22"/>
          <w:szCs w:val="22"/>
          <w:lang w:val="en-US"/>
        </w:rPr>
        <w:t>evolving</w:t>
      </w:r>
      <w:r w:rsidRPr="20262B22" w:rsidR="6019BD93">
        <w:rPr>
          <w:rFonts w:ascii="Calibri" w:hAnsi="Calibri" w:eastAsia="Calibri" w:cs="Calibri"/>
          <w:b w:val="0"/>
          <w:bCs w:val="0"/>
          <w:i w:val="1"/>
          <w:iCs w:val="1"/>
          <w:caps w:val="0"/>
          <w:smallCaps w:val="0"/>
          <w:noProof w:val="0"/>
          <w:color w:val="242424"/>
          <w:sz w:val="22"/>
          <w:szCs w:val="22"/>
          <w:lang w:val="en-US"/>
        </w:rPr>
        <w:t xml:space="preserve"> </w:t>
      </w:r>
      <w:r w:rsidRPr="20262B22" w:rsidR="3A6447B8">
        <w:rPr>
          <w:rFonts w:ascii="Calibri" w:hAnsi="Calibri" w:eastAsia="Calibri" w:cs="Calibri"/>
          <w:b w:val="0"/>
          <w:bCs w:val="0"/>
          <w:i w:val="1"/>
          <w:iCs w:val="1"/>
          <w:caps w:val="0"/>
          <w:smallCaps w:val="0"/>
          <w:noProof w:val="0"/>
          <w:color w:val="242424"/>
          <w:sz w:val="22"/>
          <w:szCs w:val="22"/>
          <w:lang w:val="en-US"/>
        </w:rPr>
        <w:t>AD &amp; ADRD biomarker field</w:t>
      </w:r>
      <w:r w:rsidRPr="20262B22" w:rsidR="5BBA91E5">
        <w:rPr>
          <w:rFonts w:ascii="Calibri" w:hAnsi="Calibri" w:eastAsia="Calibri" w:cs="Calibri"/>
          <w:b w:val="0"/>
          <w:bCs w:val="0"/>
          <w:i w:val="1"/>
          <w:iCs w:val="1"/>
          <w:caps w:val="0"/>
          <w:smallCaps w:val="0"/>
          <w:noProof w:val="0"/>
          <w:color w:val="242424"/>
          <w:sz w:val="22"/>
          <w:szCs w:val="22"/>
          <w:lang w:val="en-US"/>
        </w:rPr>
        <w:t xml:space="preserve"> </w:t>
      </w:r>
      <w:r w:rsidRPr="20262B22" w:rsidR="5BBA91E5">
        <w:rPr>
          <w:rFonts w:ascii="Calibri" w:hAnsi="Calibri" w:eastAsia="Calibri" w:cs="Calibri"/>
          <w:b w:val="0"/>
          <w:bCs w:val="0"/>
          <w:i w:val="1"/>
          <w:iCs w:val="1"/>
          <w:caps w:val="0"/>
          <w:smallCaps w:val="0"/>
          <w:noProof w:val="0"/>
          <w:color w:val="242424"/>
          <w:sz w:val="22"/>
          <w:szCs w:val="22"/>
          <w:lang w:val="en-US"/>
        </w:rPr>
        <w:t>will be incorporated into a future draft of this form</w:t>
      </w:r>
      <w:r w:rsidRPr="20262B22" w:rsidR="5947F7EC">
        <w:rPr>
          <w:rFonts w:ascii="Calibri" w:hAnsi="Calibri" w:eastAsia="Calibri" w:cs="Calibri"/>
          <w:b w:val="0"/>
          <w:bCs w:val="0"/>
          <w:i w:val="1"/>
          <w:iCs w:val="1"/>
          <w:caps w:val="0"/>
          <w:smallCaps w:val="0"/>
          <w:noProof w:val="0"/>
          <w:color w:val="242424"/>
          <w:sz w:val="22"/>
          <w:szCs w:val="22"/>
          <w:lang w:val="en-US"/>
        </w:rPr>
        <w:t>.</w:t>
      </w:r>
    </w:p>
    <w:p xmlns:wp14="http://schemas.microsoft.com/office/word/2010/wordml" w:rsidP="65B7F881" wp14:paraId="1ABF5970" wp14:textId="4E0849E5">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242424"/>
          <w:sz w:val="27"/>
          <w:szCs w:val="27"/>
          <w:lang w:val="en-US"/>
        </w:rPr>
      </w:pPr>
    </w:p>
    <w:p xmlns:wp14="http://schemas.microsoft.com/office/word/2010/wordml" w:rsidP="65B7F881" wp14:paraId="2BFA968B" wp14:textId="225E2DBE">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7"/>
          <w:szCs w:val="27"/>
          <w:lang w:val="en-US"/>
        </w:rPr>
        <w:t>Explanation of the D1a and D1b Clinical and Etiologic Diagnosis Forms</w:t>
      </w:r>
    </w:p>
    <w:p xmlns:wp14="http://schemas.microsoft.com/office/word/2010/wordml" w:rsidP="65B7F881" wp14:paraId="5FD85799" wp14:textId="789CD58B">
      <w:pPr>
        <w:shd w:val="clear" w:color="auto" w:fill="FFFFFF" w:themeFill="background1"/>
        <w:spacing w:before="0" w:beforeAutospacing="off" w:after="0" w:afterAutospacing="off"/>
      </w:pPr>
      <w:r w:rsidRPr="48E53462" w:rsidR="54CBA657">
        <w:rPr>
          <w:rFonts w:ascii="Calibri" w:hAnsi="Calibri" w:eastAsia="Calibri" w:cs="Calibri"/>
          <w:b w:val="0"/>
          <w:bCs w:val="0"/>
          <w:i w:val="0"/>
          <w:iCs w:val="0"/>
          <w:caps w:val="0"/>
          <w:smallCaps w:val="0"/>
          <w:noProof w:val="0"/>
          <w:color w:val="242424"/>
          <w:sz w:val="22"/>
          <w:szCs w:val="22"/>
          <w:lang w:val="en-US"/>
        </w:rPr>
        <w:t xml:space="preserve">The ADRC uses the D1a form to document the </w:t>
      </w:r>
      <w:r w:rsidRPr="48E53462" w:rsidR="54CBA657">
        <w:rPr>
          <w:rFonts w:ascii="Calibri" w:hAnsi="Calibri" w:eastAsia="Calibri" w:cs="Calibri"/>
          <w:b w:val="0"/>
          <w:bCs w:val="0"/>
          <w:i w:val="1"/>
          <w:iCs w:val="1"/>
          <w:caps w:val="0"/>
          <w:smallCaps w:val="0"/>
          <w:noProof w:val="0"/>
          <w:color w:val="242424"/>
          <w:sz w:val="22"/>
          <w:szCs w:val="22"/>
          <w:lang w:val="en-US"/>
        </w:rPr>
        <w:t>clinical diagnosis</w:t>
      </w:r>
      <w:r w:rsidRPr="48E53462" w:rsidR="54CBA657">
        <w:rPr>
          <w:rFonts w:ascii="Calibri" w:hAnsi="Calibri" w:eastAsia="Calibri" w:cs="Calibri"/>
          <w:b w:val="0"/>
          <w:bCs w:val="0"/>
          <w:i w:val="0"/>
          <w:iCs w:val="0"/>
          <w:caps w:val="0"/>
          <w:smallCaps w:val="0"/>
          <w:noProof w:val="0"/>
          <w:color w:val="242424"/>
          <w:sz w:val="22"/>
          <w:szCs w:val="22"/>
          <w:lang w:val="en-US"/>
        </w:rPr>
        <w:t xml:space="preserve"> and the D1b form to document the </w:t>
      </w:r>
      <w:r w:rsidRPr="48E53462" w:rsidR="54CBA657">
        <w:rPr>
          <w:rFonts w:ascii="Calibri" w:hAnsi="Calibri" w:eastAsia="Calibri" w:cs="Calibri"/>
          <w:b w:val="0"/>
          <w:bCs w:val="0"/>
          <w:i w:val="1"/>
          <w:iCs w:val="1"/>
          <w:caps w:val="0"/>
          <w:smallCaps w:val="0"/>
          <w:noProof w:val="0"/>
          <w:color w:val="242424"/>
          <w:sz w:val="22"/>
          <w:szCs w:val="22"/>
          <w:lang w:val="en-US"/>
        </w:rPr>
        <w:t>etiologic diagnosis</w:t>
      </w:r>
      <w:r w:rsidRPr="48E53462" w:rsidR="54CBA657">
        <w:rPr>
          <w:rFonts w:ascii="Calibri" w:hAnsi="Calibri" w:eastAsia="Calibri" w:cs="Calibri"/>
          <w:b w:val="0"/>
          <w:bCs w:val="0"/>
          <w:i w:val="0"/>
          <w:iCs w:val="0"/>
          <w:caps w:val="0"/>
          <w:smallCaps w:val="0"/>
          <w:noProof w:val="0"/>
          <w:color w:val="242424"/>
          <w:sz w:val="22"/>
          <w:szCs w:val="22"/>
          <w:lang w:val="en-US"/>
        </w:rPr>
        <w:t>. The purpose of these forms is to clearly indicate what information—clinical only or clinical with biomarker data—was used to make an etiologic diagnosis of dementia or cognitive impairment. This allows for a detailed understanding of whether the etiologic diagnosis was based solely on clinical assessments or if it was supported by biomarkers such as PET scans, CSF biomarkers, or blood biomarkers.</w:t>
      </w:r>
    </w:p>
    <w:p w:rsidR="48E53462" w:rsidP="48E53462" w:rsidRDefault="48E53462" w14:paraId="0D82D0CA" w14:textId="408D7F7E">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242424"/>
          <w:sz w:val="27"/>
          <w:szCs w:val="27"/>
          <w:lang w:val="en-US"/>
        </w:rPr>
      </w:pPr>
    </w:p>
    <w:p xmlns:wp14="http://schemas.microsoft.com/office/word/2010/wordml" w:rsidP="65B7F881" wp14:paraId="78980A02" wp14:textId="3E61C519">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7"/>
          <w:szCs w:val="27"/>
          <w:lang w:val="en-US"/>
        </w:rPr>
        <w:t>Key Points:</w:t>
      </w:r>
    </w:p>
    <w:p xmlns:wp14="http://schemas.microsoft.com/office/word/2010/wordml" w:rsidP="65B7F881" wp14:paraId="4B4B03A8" wp14:textId="232C00B3">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Flexible Use</w:t>
      </w:r>
      <w:r w:rsidRPr="65B7F881" w:rsidR="54CBA657">
        <w:rPr>
          <w:rFonts w:ascii="Calibri" w:hAnsi="Calibri" w:eastAsia="Calibri" w:cs="Calibri"/>
          <w:b w:val="0"/>
          <w:bCs w:val="0"/>
          <w:i w:val="0"/>
          <w:iCs w:val="0"/>
          <w:caps w:val="0"/>
          <w:smallCaps w:val="0"/>
          <w:noProof w:val="0"/>
          <w:color w:val="242424"/>
          <w:sz w:val="22"/>
          <w:szCs w:val="22"/>
          <w:lang w:val="en-US"/>
        </w:rPr>
        <w:t>: ADRCs should have the flexibility to use these forms in a way that fits their specific processes and timelines. The forms are not intended to dictate when or how biomarkers should be collected or incorporated but to document whether biomarkers were considered when making the etiologic diagnosis.</w:t>
      </w:r>
    </w:p>
    <w:p xmlns:wp14="http://schemas.microsoft.com/office/word/2010/wordml" w:rsidP="65B7F881" wp14:paraId="283630A4" wp14:textId="6CE1CCAC">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Timelines and Biomarker Data</w:t>
      </w:r>
      <w:r w:rsidRPr="65B7F881" w:rsidR="54CBA657">
        <w:rPr>
          <w:rFonts w:ascii="Calibri" w:hAnsi="Calibri" w:eastAsia="Calibri" w:cs="Calibri"/>
          <w:b w:val="0"/>
          <w:bCs w:val="0"/>
          <w:i w:val="0"/>
          <w:iCs w:val="0"/>
          <w:caps w:val="0"/>
          <w:smallCaps w:val="0"/>
          <w:noProof w:val="0"/>
          <w:color w:val="242424"/>
          <w:sz w:val="22"/>
          <w:szCs w:val="22"/>
          <w:lang w:val="en-US"/>
        </w:rPr>
        <w:t>: Given that biomarkers may return on different timelines, it is not always feasible to delay a consensus conference to wait for biomarker results. The forms are designed to capture the clinical judgment made at the time of the conference, regardless of whether biomarkers were available.</w:t>
      </w:r>
    </w:p>
    <w:p xmlns:wp14="http://schemas.microsoft.com/office/word/2010/wordml" w:rsidP="65B7F881" wp14:paraId="2F396439" wp14:textId="5C8B2D6F">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Point-in-Time Documentation</w:t>
      </w:r>
      <w:r w:rsidRPr="65B7F881" w:rsidR="54CBA657">
        <w:rPr>
          <w:rFonts w:ascii="Calibri" w:hAnsi="Calibri" w:eastAsia="Calibri" w:cs="Calibri"/>
          <w:b w:val="0"/>
          <w:bCs w:val="0"/>
          <w:i w:val="0"/>
          <w:iCs w:val="0"/>
          <w:caps w:val="0"/>
          <w:smallCaps w:val="0"/>
          <w:noProof w:val="0"/>
          <w:color w:val="242424"/>
          <w:sz w:val="22"/>
          <w:szCs w:val="22"/>
          <w:lang w:val="en-US"/>
        </w:rPr>
        <w:t>: The forms are intended to record what information was used at the time of diagnosis. There is no need to update the forms later if biomarkers become available after the consensus conference. However, if biomarker data are incorporated in future clinical assessments, this should be documented on those new forms during those future assessments.</w:t>
      </w:r>
    </w:p>
    <w:p xmlns:wp14="http://schemas.microsoft.com/office/word/2010/wordml" w:rsidP="65B7F881" wp14:paraId="35B47B89" wp14:textId="630B1055">
      <w:pPr>
        <w:shd w:val="clear" w:color="auto" w:fill="FFFFFF" w:themeFill="background1"/>
        <w:spacing w:before="0" w:beforeAutospacing="off" w:after="0" w:afterAutospacing="off"/>
        <w:jc w:val="center"/>
      </w:pPr>
    </w:p>
    <w:p xmlns:wp14="http://schemas.microsoft.com/office/word/2010/wordml" w:rsidP="65B7F881" wp14:paraId="05DBC545" wp14:textId="362EE82A">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7"/>
          <w:szCs w:val="27"/>
          <w:lang w:val="en-US"/>
        </w:rPr>
        <w:t>Example Scenarios for Using the D1a and D1b Forms:</w:t>
      </w:r>
    </w:p>
    <w:p xmlns:wp14="http://schemas.microsoft.com/office/word/2010/wordml" w:rsidP="65B7F881" wp14:paraId="7E3B0229" wp14:textId="1312871F">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4"/>
          <w:szCs w:val="24"/>
          <w:lang w:val="en-US"/>
        </w:rPr>
        <w:t>Scenario 1: Diagnosis Made Without Biomarker Support</w:t>
      </w:r>
    </w:p>
    <w:p xmlns:wp14="http://schemas.microsoft.com/office/word/2010/wordml" w:rsidP="65B7F881" wp14:paraId="7985EF6F" wp14:textId="39C833A2">
      <w:pPr>
        <w:pStyle w:val="ListParagraph"/>
        <w:numPr>
          <w:ilvl w:val="0"/>
          <w:numId w:val="2"/>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Situation</w:t>
      </w:r>
      <w:r w:rsidRPr="65B7F881" w:rsidR="54CBA657">
        <w:rPr>
          <w:rFonts w:ascii="Calibri" w:hAnsi="Calibri" w:eastAsia="Calibri" w:cs="Calibri"/>
          <w:b w:val="0"/>
          <w:bCs w:val="0"/>
          <w:i w:val="0"/>
          <w:iCs w:val="0"/>
          <w:caps w:val="0"/>
          <w:smallCaps w:val="0"/>
          <w:noProof w:val="0"/>
          <w:color w:val="242424"/>
          <w:sz w:val="22"/>
          <w:szCs w:val="22"/>
          <w:lang w:val="en-US"/>
        </w:rPr>
        <w:t>: An ADRC holds a consensus conference to diagnose a patient who has undergone cognitive assessments and standard clinical evaluations, but biomarker data (such as an amyloid PET scan or CSF biomarkers) are not yet available.</w:t>
      </w:r>
    </w:p>
    <w:p xmlns:wp14="http://schemas.microsoft.com/office/word/2010/wordml" w:rsidP="65B7F881" wp14:paraId="268FE6D7" wp14:textId="41869559">
      <w:pPr>
        <w:pStyle w:val="ListParagraph"/>
        <w:numPr>
          <w:ilvl w:val="0"/>
          <w:numId w:val="2"/>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D1a Form</w:t>
      </w:r>
      <w:r w:rsidRPr="65B7F881" w:rsidR="54CBA657">
        <w:rPr>
          <w:rFonts w:ascii="Calibri" w:hAnsi="Calibri" w:eastAsia="Calibri" w:cs="Calibri"/>
          <w:b w:val="0"/>
          <w:bCs w:val="0"/>
          <w:i w:val="0"/>
          <w:iCs w:val="0"/>
          <w:caps w:val="0"/>
          <w:smallCaps w:val="0"/>
          <w:noProof w:val="0"/>
          <w:color w:val="242424"/>
          <w:sz w:val="22"/>
          <w:szCs w:val="22"/>
          <w:lang w:val="en-US"/>
        </w:rPr>
        <w:t>: The clinical diagnosis (e.g., probable Alzheimer's disease or mild cognitive impairment) is documented based on the clinical data available.</w:t>
      </w:r>
    </w:p>
    <w:p xmlns:wp14="http://schemas.microsoft.com/office/word/2010/wordml" w:rsidP="65B7F881" wp14:paraId="1B62BE9A" wp14:textId="013FA21D">
      <w:pPr>
        <w:pStyle w:val="ListParagraph"/>
        <w:numPr>
          <w:ilvl w:val="0"/>
          <w:numId w:val="2"/>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20262B22" w:rsidR="54CBA657">
        <w:rPr>
          <w:rFonts w:ascii="Calibri" w:hAnsi="Calibri" w:eastAsia="Calibri" w:cs="Calibri"/>
          <w:b w:val="1"/>
          <w:bCs w:val="1"/>
          <w:i w:val="0"/>
          <w:iCs w:val="0"/>
          <w:caps w:val="0"/>
          <w:smallCaps w:val="0"/>
          <w:noProof w:val="0"/>
          <w:color w:val="242424"/>
          <w:sz w:val="22"/>
          <w:szCs w:val="22"/>
          <w:lang w:val="en-US"/>
        </w:rPr>
        <w:t>D1b Form</w:t>
      </w:r>
      <w:r w:rsidRPr="20262B22" w:rsidR="54CBA657">
        <w:rPr>
          <w:rFonts w:ascii="Calibri" w:hAnsi="Calibri" w:eastAsia="Calibri" w:cs="Calibri"/>
          <w:b w:val="0"/>
          <w:bCs w:val="0"/>
          <w:i w:val="0"/>
          <w:iCs w:val="0"/>
          <w:caps w:val="0"/>
          <w:smallCaps w:val="0"/>
          <w:noProof w:val="0"/>
          <w:color w:val="242424"/>
          <w:sz w:val="22"/>
          <w:szCs w:val="22"/>
          <w:lang w:val="en-US"/>
        </w:rPr>
        <w:t xml:space="preserve">: An etiologic diagnosis is assigned (e.g., Alzheimer's disease as the likely etiology), and it is explicitly noted that this diagnosis is </w:t>
      </w:r>
      <w:r w:rsidRPr="20262B22" w:rsidR="54CBA657">
        <w:rPr>
          <w:rFonts w:ascii="Calibri" w:hAnsi="Calibri" w:eastAsia="Calibri" w:cs="Calibri"/>
          <w:b w:val="0"/>
          <w:bCs w:val="0"/>
          <w:i w:val="1"/>
          <w:iCs w:val="1"/>
          <w:caps w:val="0"/>
          <w:smallCaps w:val="0"/>
          <w:noProof w:val="0"/>
          <w:color w:val="242424"/>
          <w:sz w:val="22"/>
          <w:szCs w:val="22"/>
          <w:lang w:val="en-US"/>
        </w:rPr>
        <w:t>not</w:t>
      </w:r>
      <w:r w:rsidRPr="20262B22" w:rsidR="54CBA657">
        <w:rPr>
          <w:rFonts w:ascii="Calibri" w:hAnsi="Calibri" w:eastAsia="Calibri" w:cs="Calibri"/>
          <w:b w:val="0"/>
          <w:bCs w:val="0"/>
          <w:i w:val="0"/>
          <w:iCs w:val="0"/>
          <w:caps w:val="0"/>
          <w:smallCaps w:val="0"/>
          <w:noProof w:val="0"/>
          <w:color w:val="242424"/>
          <w:sz w:val="22"/>
          <w:szCs w:val="22"/>
          <w:lang w:val="en-US"/>
        </w:rPr>
        <w:t xml:space="preserve"> supported by biomarkers. The absence of biomarker data does not change the fact that an etiologic diagnosis is made and it is clear that this etiologic diagnosis was supported by clinical information alone.</w:t>
      </w:r>
    </w:p>
    <w:p w:rsidR="20262B22" w:rsidP="20262B22" w:rsidRDefault="20262B22" w14:paraId="0683DEDE" w14:textId="1FBDF80D">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242424"/>
          <w:sz w:val="24"/>
          <w:szCs w:val="24"/>
          <w:lang w:val="en-US"/>
        </w:rPr>
      </w:pPr>
    </w:p>
    <w:p xmlns:wp14="http://schemas.microsoft.com/office/word/2010/wordml" w:rsidP="65B7F881" wp14:paraId="330A9BBF" wp14:textId="7DDBB5F2">
      <w:pPr>
        <w:shd w:val="clear" w:color="auto" w:fill="FFFFFF" w:themeFill="background1"/>
        <w:spacing w:before="0" w:beforeAutospacing="off" w:after="0" w:afterAutospacing="off"/>
      </w:pPr>
      <w:r w:rsidRPr="48E53462" w:rsidR="54CBA657">
        <w:rPr>
          <w:rFonts w:ascii="Calibri" w:hAnsi="Calibri" w:eastAsia="Calibri" w:cs="Calibri"/>
          <w:b w:val="1"/>
          <w:bCs w:val="1"/>
          <w:i w:val="0"/>
          <w:iCs w:val="0"/>
          <w:caps w:val="0"/>
          <w:smallCaps w:val="0"/>
          <w:noProof w:val="0"/>
          <w:color w:val="242424"/>
          <w:sz w:val="24"/>
          <w:szCs w:val="24"/>
          <w:lang w:val="en-US"/>
        </w:rPr>
        <w:t xml:space="preserve">Scenario 2: </w:t>
      </w:r>
      <w:r w:rsidRPr="48E53462" w:rsidR="54CBA657">
        <w:rPr>
          <w:rFonts w:ascii="Calibri" w:hAnsi="Calibri" w:eastAsia="Calibri" w:cs="Calibri"/>
          <w:b w:val="1"/>
          <w:bCs w:val="1"/>
          <w:i w:val="0"/>
          <w:iCs w:val="0"/>
          <w:caps w:val="0"/>
          <w:smallCaps w:val="0"/>
          <w:noProof w:val="0"/>
          <w:color w:val="242424"/>
          <w:sz w:val="24"/>
          <w:szCs w:val="24"/>
          <w:lang w:val="en-US"/>
        </w:rPr>
        <w:t>Delaying</w:t>
      </w:r>
      <w:r w:rsidRPr="48E53462" w:rsidR="54CBA657">
        <w:rPr>
          <w:rFonts w:ascii="Calibri" w:hAnsi="Calibri" w:eastAsia="Calibri" w:cs="Calibri"/>
          <w:b w:val="1"/>
          <w:bCs w:val="1"/>
          <w:i w:val="0"/>
          <w:iCs w:val="0"/>
          <w:caps w:val="0"/>
          <w:smallCaps w:val="0"/>
          <w:noProof w:val="0"/>
          <w:color w:val="242424"/>
          <w:sz w:val="24"/>
          <w:szCs w:val="24"/>
          <w:lang w:val="en-US"/>
        </w:rPr>
        <w:t xml:space="preserve"> Consensus Conference for Biomarker Data</w:t>
      </w:r>
    </w:p>
    <w:p xmlns:wp14="http://schemas.microsoft.com/office/word/2010/wordml" w:rsidP="65B7F881" wp14:paraId="61722910" wp14:textId="3EC2D22C">
      <w:pPr>
        <w:pStyle w:val="ListParagraph"/>
        <w:numPr>
          <w:ilvl w:val="0"/>
          <w:numId w:val="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Situation</w:t>
      </w:r>
      <w:r w:rsidRPr="65B7F881" w:rsidR="54CBA657">
        <w:rPr>
          <w:rFonts w:ascii="Calibri" w:hAnsi="Calibri" w:eastAsia="Calibri" w:cs="Calibri"/>
          <w:b w:val="0"/>
          <w:bCs w:val="0"/>
          <w:i w:val="0"/>
          <w:iCs w:val="0"/>
          <w:caps w:val="0"/>
          <w:smallCaps w:val="0"/>
          <w:noProof w:val="0"/>
          <w:color w:val="242424"/>
          <w:sz w:val="22"/>
          <w:szCs w:val="22"/>
          <w:lang w:val="en-US"/>
        </w:rPr>
        <w:t>: An ADRC is moving toward biomarker-supported diagnoses and has decided to wait several months for biomarker results (e.g., amyloid PET scan or CSF analysis) before holding a consensus conference.</w:t>
      </w:r>
    </w:p>
    <w:p xmlns:wp14="http://schemas.microsoft.com/office/word/2010/wordml" w:rsidP="65B7F881" wp14:paraId="75E062EC" wp14:textId="3D76883A">
      <w:pPr>
        <w:pStyle w:val="ListParagraph"/>
        <w:numPr>
          <w:ilvl w:val="0"/>
          <w:numId w:val="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Process</w:t>
      </w:r>
      <w:r w:rsidRPr="65B7F881" w:rsidR="54CBA657">
        <w:rPr>
          <w:rFonts w:ascii="Calibri" w:hAnsi="Calibri" w:eastAsia="Calibri" w:cs="Calibri"/>
          <w:b w:val="0"/>
          <w:bCs w:val="0"/>
          <w:i w:val="0"/>
          <w:iCs w:val="0"/>
          <w:caps w:val="0"/>
          <w:smallCaps w:val="0"/>
          <w:noProof w:val="0"/>
          <w:color w:val="242424"/>
          <w:sz w:val="22"/>
          <w:szCs w:val="22"/>
          <w:lang w:val="en-US"/>
        </w:rPr>
        <w:t>: The site holds a consensus conference only after the biomarker data are available, using this data to support the etiologic diagnosis.</w:t>
      </w:r>
    </w:p>
    <w:p xmlns:wp14="http://schemas.microsoft.com/office/word/2010/wordml" w:rsidP="65B7F881" wp14:paraId="127B4956" wp14:textId="4FEF69AD">
      <w:pPr>
        <w:pStyle w:val="ListParagraph"/>
        <w:numPr>
          <w:ilvl w:val="0"/>
          <w:numId w:val="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D1a Form</w:t>
      </w:r>
      <w:r w:rsidRPr="65B7F881" w:rsidR="54CBA657">
        <w:rPr>
          <w:rFonts w:ascii="Calibri" w:hAnsi="Calibri" w:eastAsia="Calibri" w:cs="Calibri"/>
          <w:b w:val="0"/>
          <w:bCs w:val="0"/>
          <w:i w:val="0"/>
          <w:iCs w:val="0"/>
          <w:caps w:val="0"/>
          <w:smallCaps w:val="0"/>
          <w:noProof w:val="0"/>
          <w:color w:val="242424"/>
          <w:sz w:val="22"/>
          <w:szCs w:val="22"/>
          <w:lang w:val="en-US"/>
        </w:rPr>
        <w:t>: The clinical diagnosis is documented based on clinical data.</w:t>
      </w:r>
    </w:p>
    <w:p xmlns:wp14="http://schemas.microsoft.com/office/word/2010/wordml" w:rsidP="65B7F881" wp14:paraId="2B9B053A" wp14:textId="3AD2B25A">
      <w:pPr>
        <w:pStyle w:val="ListParagraph"/>
        <w:numPr>
          <w:ilvl w:val="0"/>
          <w:numId w:val="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D1b Form</w:t>
      </w:r>
      <w:r w:rsidRPr="65B7F881" w:rsidR="54CBA657">
        <w:rPr>
          <w:rFonts w:ascii="Calibri" w:hAnsi="Calibri" w:eastAsia="Calibri" w:cs="Calibri"/>
          <w:b w:val="0"/>
          <w:bCs w:val="0"/>
          <w:i w:val="0"/>
          <w:iCs w:val="0"/>
          <w:caps w:val="0"/>
          <w:smallCaps w:val="0"/>
          <w:noProof w:val="0"/>
          <w:color w:val="242424"/>
          <w:sz w:val="22"/>
          <w:szCs w:val="22"/>
          <w:lang w:val="en-US"/>
        </w:rPr>
        <w:t xml:space="preserve">: The etiologic diagnosis is documented as </w:t>
      </w:r>
      <w:r w:rsidRPr="65B7F881" w:rsidR="54CBA657">
        <w:rPr>
          <w:rFonts w:ascii="Calibri" w:hAnsi="Calibri" w:eastAsia="Calibri" w:cs="Calibri"/>
          <w:b w:val="0"/>
          <w:bCs w:val="0"/>
          <w:i w:val="1"/>
          <w:iCs w:val="1"/>
          <w:caps w:val="0"/>
          <w:smallCaps w:val="0"/>
          <w:noProof w:val="0"/>
          <w:color w:val="242424"/>
          <w:sz w:val="22"/>
          <w:szCs w:val="22"/>
          <w:lang w:val="en-US"/>
        </w:rPr>
        <w:t>supported</w:t>
      </w:r>
      <w:r w:rsidRPr="65B7F881" w:rsidR="54CBA657">
        <w:rPr>
          <w:rFonts w:ascii="Calibri" w:hAnsi="Calibri" w:eastAsia="Calibri" w:cs="Calibri"/>
          <w:b w:val="0"/>
          <w:bCs w:val="0"/>
          <w:i w:val="0"/>
          <w:iCs w:val="0"/>
          <w:caps w:val="0"/>
          <w:smallCaps w:val="0"/>
          <w:noProof w:val="0"/>
          <w:color w:val="242424"/>
          <w:sz w:val="22"/>
          <w:szCs w:val="22"/>
          <w:lang w:val="en-US"/>
        </w:rPr>
        <w:t xml:space="preserve"> by biomarkers, clearly indicating the information that influenced the diagnosis.</w:t>
      </w:r>
    </w:p>
    <w:p xmlns:wp14="http://schemas.microsoft.com/office/word/2010/wordml" w:rsidP="65B7F881" wp14:paraId="184F0B48" wp14:textId="5E43D7C3">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4"/>
          <w:szCs w:val="24"/>
          <w:lang w:val="en-US"/>
        </w:rPr>
        <w:t>Scenario 3: Biomarker Data Available but Not Used</w:t>
      </w:r>
    </w:p>
    <w:p xmlns:wp14="http://schemas.microsoft.com/office/word/2010/wordml" w:rsidP="65B7F881" wp14:paraId="479973F4" wp14:textId="12BEA1B3">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Situation</w:t>
      </w:r>
      <w:r w:rsidRPr="65B7F881" w:rsidR="54CBA657">
        <w:rPr>
          <w:rFonts w:ascii="Calibri" w:hAnsi="Calibri" w:eastAsia="Calibri" w:cs="Calibri"/>
          <w:b w:val="0"/>
          <w:bCs w:val="0"/>
          <w:i w:val="0"/>
          <w:iCs w:val="0"/>
          <w:caps w:val="0"/>
          <w:smallCaps w:val="0"/>
          <w:noProof w:val="0"/>
          <w:color w:val="242424"/>
          <w:sz w:val="22"/>
          <w:szCs w:val="22"/>
          <w:lang w:val="en-US"/>
        </w:rPr>
        <w:t>: A site has collected biomarker samples or data but is not yet ready to use it for diagnosis. A consensus conference proceeds without waiting for these results.</w:t>
      </w:r>
    </w:p>
    <w:p xmlns:wp14="http://schemas.microsoft.com/office/word/2010/wordml" w:rsidP="65B7F881" wp14:paraId="06848761" wp14:textId="6E01B1B8">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D1a Form</w:t>
      </w:r>
      <w:r w:rsidRPr="65B7F881" w:rsidR="54CBA657">
        <w:rPr>
          <w:rFonts w:ascii="Calibri" w:hAnsi="Calibri" w:eastAsia="Calibri" w:cs="Calibri"/>
          <w:b w:val="0"/>
          <w:bCs w:val="0"/>
          <w:i w:val="0"/>
          <w:iCs w:val="0"/>
          <w:caps w:val="0"/>
          <w:smallCaps w:val="0"/>
          <w:noProof w:val="0"/>
          <w:color w:val="242424"/>
          <w:sz w:val="22"/>
          <w:szCs w:val="22"/>
          <w:lang w:val="en-US"/>
        </w:rPr>
        <w:t>: The clinical diagnosis is documented based only on clinical data.</w:t>
      </w:r>
    </w:p>
    <w:p xmlns:wp14="http://schemas.microsoft.com/office/word/2010/wordml" w:rsidP="65B7F881" wp14:paraId="27185F36" wp14:textId="1550AEEF">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D1b Form</w:t>
      </w:r>
      <w:r w:rsidRPr="65B7F881" w:rsidR="54CBA657">
        <w:rPr>
          <w:rFonts w:ascii="Calibri" w:hAnsi="Calibri" w:eastAsia="Calibri" w:cs="Calibri"/>
          <w:b w:val="0"/>
          <w:bCs w:val="0"/>
          <w:i w:val="0"/>
          <w:iCs w:val="0"/>
          <w:caps w:val="0"/>
          <w:smallCaps w:val="0"/>
          <w:noProof w:val="0"/>
          <w:color w:val="242424"/>
          <w:sz w:val="22"/>
          <w:szCs w:val="22"/>
          <w:lang w:val="en-US"/>
        </w:rPr>
        <w:t xml:space="preserve">: The etiologic diagnosis is assigned and explicitly states that biomarkers were </w:t>
      </w:r>
      <w:r w:rsidRPr="65B7F881" w:rsidR="54CBA657">
        <w:rPr>
          <w:rFonts w:ascii="Calibri" w:hAnsi="Calibri" w:eastAsia="Calibri" w:cs="Calibri"/>
          <w:b w:val="0"/>
          <w:bCs w:val="0"/>
          <w:i w:val="1"/>
          <w:iCs w:val="1"/>
          <w:caps w:val="0"/>
          <w:smallCaps w:val="0"/>
          <w:noProof w:val="0"/>
          <w:color w:val="242424"/>
          <w:sz w:val="22"/>
          <w:szCs w:val="22"/>
          <w:lang w:val="en-US"/>
        </w:rPr>
        <w:t>not</w:t>
      </w:r>
      <w:r w:rsidRPr="65B7F881" w:rsidR="54CBA657">
        <w:rPr>
          <w:rFonts w:ascii="Calibri" w:hAnsi="Calibri" w:eastAsia="Calibri" w:cs="Calibri"/>
          <w:b w:val="0"/>
          <w:bCs w:val="0"/>
          <w:i w:val="0"/>
          <w:iCs w:val="0"/>
          <w:caps w:val="0"/>
          <w:smallCaps w:val="0"/>
          <w:noProof w:val="0"/>
          <w:color w:val="242424"/>
          <w:sz w:val="22"/>
          <w:szCs w:val="22"/>
          <w:lang w:val="en-US"/>
        </w:rPr>
        <w:t xml:space="preserve"> used to make this judgment. Even though biomarker samples have been collected or biomarker data exist, they are irrelevant to this specific diagnosis as they were not used to support the diagnosis at that time. </w:t>
      </w:r>
    </w:p>
    <w:p xmlns:wp14="http://schemas.microsoft.com/office/word/2010/wordml" w:rsidP="3B20BFDF" wp14:paraId="768B9C39" wp14:textId="5CEC01FD">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242424"/>
          <w:sz w:val="24"/>
          <w:szCs w:val="24"/>
          <w:lang w:val="en-US"/>
        </w:rPr>
      </w:pPr>
      <w:r w:rsidRPr="3B20BFDF" w:rsidR="54CBA657">
        <w:rPr>
          <w:rFonts w:ascii="Calibri" w:hAnsi="Calibri" w:eastAsia="Calibri" w:cs="Calibri"/>
          <w:b w:val="1"/>
          <w:bCs w:val="1"/>
          <w:i w:val="0"/>
          <w:iCs w:val="0"/>
          <w:caps w:val="0"/>
          <w:smallCaps w:val="0"/>
          <w:noProof w:val="0"/>
          <w:color w:val="242424"/>
          <w:sz w:val="24"/>
          <w:szCs w:val="24"/>
          <w:lang w:val="en-US"/>
        </w:rPr>
        <w:t>Scenario 4: Incorporating Biomarker Data in a Future Assessment</w:t>
      </w:r>
    </w:p>
    <w:p xmlns:wp14="http://schemas.microsoft.com/office/word/2010/wordml" w:rsidP="65B7F881" wp14:paraId="45CF08C1" wp14:textId="50B34418">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65B7F881" w:rsidR="54CBA657">
        <w:rPr>
          <w:rFonts w:ascii="Calibri" w:hAnsi="Calibri" w:eastAsia="Calibri" w:cs="Calibri"/>
          <w:b w:val="1"/>
          <w:bCs w:val="1"/>
          <w:i w:val="0"/>
          <w:iCs w:val="0"/>
          <w:caps w:val="0"/>
          <w:smallCaps w:val="0"/>
          <w:noProof w:val="0"/>
          <w:color w:val="242424"/>
          <w:sz w:val="22"/>
          <w:szCs w:val="22"/>
          <w:lang w:val="en-US"/>
        </w:rPr>
        <w:t>Situation</w:t>
      </w:r>
      <w:r w:rsidRPr="65B7F881" w:rsidR="54CBA657">
        <w:rPr>
          <w:rFonts w:ascii="Calibri" w:hAnsi="Calibri" w:eastAsia="Calibri" w:cs="Calibri"/>
          <w:b w:val="0"/>
          <w:bCs w:val="0"/>
          <w:i w:val="0"/>
          <w:iCs w:val="0"/>
          <w:caps w:val="0"/>
          <w:smallCaps w:val="0"/>
          <w:noProof w:val="0"/>
          <w:color w:val="242424"/>
          <w:sz w:val="22"/>
          <w:szCs w:val="22"/>
          <w:lang w:val="en-US"/>
        </w:rPr>
        <w:t>: Months later, biomarker data become available, but instead of holding a new consensus conference, the site carries this information forward to the next scheduled follow-up visit or future consensus conference.</w:t>
      </w:r>
    </w:p>
    <w:p xmlns:wp14="http://schemas.microsoft.com/office/word/2010/wordml" w:rsidP="5FE0598C" wp14:paraId="5606D9C6" wp14:textId="15B831C3">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5FE0598C" w:rsidR="54CBA657">
        <w:rPr>
          <w:rFonts w:ascii="Calibri" w:hAnsi="Calibri" w:eastAsia="Calibri" w:cs="Calibri"/>
          <w:b w:val="1"/>
          <w:bCs w:val="1"/>
          <w:i w:val="0"/>
          <w:iCs w:val="0"/>
          <w:caps w:val="0"/>
          <w:smallCaps w:val="0"/>
          <w:noProof w:val="0"/>
          <w:color w:val="242424"/>
          <w:sz w:val="22"/>
          <w:szCs w:val="22"/>
          <w:lang w:val="en-US"/>
        </w:rPr>
        <w:t>Future Use</w:t>
      </w:r>
      <w:r w:rsidRPr="5FE0598C" w:rsidR="54CBA657">
        <w:rPr>
          <w:rFonts w:ascii="Calibri" w:hAnsi="Calibri" w:eastAsia="Calibri" w:cs="Calibri"/>
          <w:b w:val="0"/>
          <w:bCs w:val="0"/>
          <w:i w:val="0"/>
          <w:iCs w:val="0"/>
          <w:caps w:val="0"/>
          <w:smallCaps w:val="0"/>
          <w:noProof w:val="0"/>
          <w:color w:val="242424"/>
          <w:sz w:val="22"/>
          <w:szCs w:val="22"/>
          <w:lang w:val="en-US"/>
        </w:rPr>
        <w:t xml:space="preserve">: At </w:t>
      </w:r>
      <w:r w:rsidRPr="5FE0598C" w:rsidR="54CBA657">
        <w:rPr>
          <w:rFonts w:ascii="Calibri" w:hAnsi="Calibri" w:eastAsia="Calibri" w:cs="Calibri"/>
          <w:b w:val="0"/>
          <w:bCs w:val="0"/>
          <w:i w:val="0"/>
          <w:iCs w:val="0"/>
          <w:caps w:val="0"/>
          <w:smallCaps w:val="0"/>
          <w:noProof w:val="0"/>
          <w:color w:val="242424"/>
          <w:sz w:val="22"/>
          <w:szCs w:val="22"/>
          <w:lang w:val="en-US"/>
        </w:rPr>
        <w:t>the next</w:t>
      </w:r>
      <w:r w:rsidRPr="5FE0598C" w:rsidR="54CBA657">
        <w:rPr>
          <w:rFonts w:ascii="Calibri" w:hAnsi="Calibri" w:eastAsia="Calibri" w:cs="Calibri"/>
          <w:b w:val="0"/>
          <w:bCs w:val="0"/>
          <w:i w:val="0"/>
          <w:iCs w:val="0"/>
          <w:caps w:val="0"/>
          <w:smallCaps w:val="0"/>
          <w:noProof w:val="0"/>
          <w:color w:val="242424"/>
          <w:sz w:val="22"/>
          <w:szCs w:val="22"/>
          <w:lang w:val="en-US"/>
        </w:rPr>
        <w:t xml:space="preserve"> year’s </w:t>
      </w:r>
      <w:r w:rsidRPr="5FE0598C" w:rsidR="0896D782">
        <w:rPr>
          <w:rFonts w:ascii="Calibri" w:hAnsi="Calibri" w:eastAsia="Calibri" w:cs="Calibri"/>
          <w:b w:val="0"/>
          <w:bCs w:val="0"/>
          <w:i w:val="0"/>
          <w:iCs w:val="0"/>
          <w:caps w:val="0"/>
          <w:smallCaps w:val="0"/>
          <w:noProof w:val="0"/>
          <w:color w:val="242424"/>
          <w:sz w:val="22"/>
          <w:szCs w:val="22"/>
          <w:lang w:val="en-US"/>
        </w:rPr>
        <w:t xml:space="preserve">UDS </w:t>
      </w:r>
      <w:r w:rsidRPr="5FE0598C" w:rsidR="54CBA657">
        <w:rPr>
          <w:rFonts w:ascii="Calibri" w:hAnsi="Calibri" w:eastAsia="Calibri" w:cs="Calibri"/>
          <w:b w:val="0"/>
          <w:bCs w:val="0"/>
          <w:i w:val="0"/>
          <w:iCs w:val="0"/>
          <w:caps w:val="0"/>
          <w:smallCaps w:val="0"/>
          <w:noProof w:val="0"/>
          <w:color w:val="242424"/>
          <w:sz w:val="22"/>
          <w:szCs w:val="22"/>
          <w:lang w:val="en-US"/>
        </w:rPr>
        <w:t xml:space="preserve">follow-up visit or </w:t>
      </w:r>
      <w:r w:rsidRPr="5FE0598C" w:rsidR="54CBA657">
        <w:rPr>
          <w:rFonts w:ascii="Calibri" w:hAnsi="Calibri" w:eastAsia="Calibri" w:cs="Calibri"/>
          <w:b w:val="0"/>
          <w:bCs w:val="0"/>
          <w:i w:val="0"/>
          <w:iCs w:val="0"/>
          <w:caps w:val="0"/>
          <w:smallCaps w:val="0"/>
          <w:noProof w:val="0"/>
          <w:color w:val="242424"/>
          <w:sz w:val="22"/>
          <w:szCs w:val="22"/>
          <w:lang w:val="en-US"/>
        </w:rPr>
        <w:t>subsequent</w:t>
      </w:r>
      <w:r w:rsidRPr="5FE0598C" w:rsidR="54CBA657">
        <w:rPr>
          <w:rFonts w:ascii="Calibri" w:hAnsi="Calibri" w:eastAsia="Calibri" w:cs="Calibri"/>
          <w:b w:val="0"/>
          <w:bCs w:val="0"/>
          <w:i w:val="0"/>
          <w:iCs w:val="0"/>
          <w:caps w:val="0"/>
          <w:smallCaps w:val="0"/>
          <w:noProof w:val="0"/>
          <w:color w:val="242424"/>
          <w:sz w:val="22"/>
          <w:szCs w:val="22"/>
          <w:lang w:val="en-US"/>
        </w:rPr>
        <w:t xml:space="preserve"> consensus conference, the newly available biomarker data are incorporated to inform the clinical and etiologic diagnosis at that time.</w:t>
      </w:r>
      <w:r w:rsidRPr="5FE0598C" w:rsidR="2A00647A">
        <w:rPr>
          <w:rFonts w:ascii="Calibri" w:hAnsi="Calibri" w:eastAsia="Calibri" w:cs="Calibri"/>
          <w:b w:val="0"/>
          <w:bCs w:val="0"/>
          <w:i w:val="0"/>
          <w:iCs w:val="0"/>
          <w:caps w:val="0"/>
          <w:smallCaps w:val="0"/>
          <w:noProof w:val="0"/>
          <w:color w:val="242424"/>
          <w:sz w:val="22"/>
          <w:szCs w:val="22"/>
          <w:lang w:val="en-US"/>
        </w:rPr>
        <w:t xml:space="preserve"> </w:t>
      </w:r>
      <w:r w:rsidRPr="5FE0598C" w:rsidR="2A00647A">
        <w:rPr>
          <w:rFonts w:ascii="Calibri" w:hAnsi="Calibri" w:eastAsia="Calibri" w:cs="Calibri"/>
          <w:b w:val="1"/>
          <w:bCs w:val="1"/>
          <w:i w:val="1"/>
          <w:iCs w:val="1"/>
          <w:caps w:val="0"/>
          <w:smallCaps w:val="0"/>
          <w:noProof w:val="0"/>
          <w:color w:val="242424"/>
          <w:sz w:val="22"/>
          <w:szCs w:val="22"/>
          <w:lang w:val="en-US"/>
        </w:rPr>
        <w:t xml:space="preserve">ADRCs should not update the UDS data they have already </w:t>
      </w:r>
      <w:r w:rsidRPr="5FE0598C" w:rsidR="2A00647A">
        <w:rPr>
          <w:rFonts w:ascii="Calibri" w:hAnsi="Calibri" w:eastAsia="Calibri" w:cs="Calibri"/>
          <w:b w:val="1"/>
          <w:bCs w:val="1"/>
          <w:i w:val="1"/>
          <w:iCs w:val="1"/>
          <w:caps w:val="0"/>
          <w:smallCaps w:val="0"/>
          <w:noProof w:val="0"/>
          <w:color w:val="242424"/>
          <w:sz w:val="22"/>
          <w:szCs w:val="22"/>
          <w:lang w:val="en-US"/>
        </w:rPr>
        <w:t>submitted</w:t>
      </w:r>
      <w:r w:rsidRPr="5FE0598C" w:rsidR="2A00647A">
        <w:rPr>
          <w:rFonts w:ascii="Calibri" w:hAnsi="Calibri" w:eastAsia="Calibri" w:cs="Calibri"/>
          <w:b w:val="1"/>
          <w:bCs w:val="1"/>
          <w:i w:val="1"/>
          <w:iCs w:val="1"/>
          <w:caps w:val="0"/>
          <w:smallCaps w:val="0"/>
          <w:noProof w:val="0"/>
          <w:color w:val="242424"/>
          <w:sz w:val="22"/>
          <w:szCs w:val="22"/>
          <w:lang w:val="en-US"/>
        </w:rPr>
        <w:t xml:space="preserve"> using the biomarker data</w:t>
      </w:r>
      <w:r w:rsidRPr="5FE0598C" w:rsidR="16AE9123">
        <w:rPr>
          <w:rFonts w:ascii="Calibri" w:hAnsi="Calibri" w:eastAsia="Calibri" w:cs="Calibri"/>
          <w:b w:val="1"/>
          <w:bCs w:val="1"/>
          <w:i w:val="1"/>
          <w:iCs w:val="1"/>
          <w:caps w:val="0"/>
          <w:smallCaps w:val="0"/>
          <w:noProof w:val="0"/>
          <w:color w:val="242424"/>
          <w:sz w:val="22"/>
          <w:szCs w:val="22"/>
          <w:lang w:val="en-US"/>
        </w:rPr>
        <w:t xml:space="preserve"> that was available (or no biomarker data) at that time.</w:t>
      </w:r>
    </w:p>
    <w:p xmlns:wp14="http://schemas.microsoft.com/office/word/2010/wordml" w:rsidP="5FE0598C" wp14:paraId="3E51D008" wp14:textId="502DB50E">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242424"/>
          <w:sz w:val="22"/>
          <w:szCs w:val="22"/>
          <w:lang w:val="en-US"/>
        </w:rPr>
      </w:pPr>
      <w:r w:rsidRPr="5FE0598C" w:rsidR="54CBA657">
        <w:rPr>
          <w:rFonts w:ascii="Calibri" w:hAnsi="Calibri" w:eastAsia="Calibri" w:cs="Calibri"/>
          <w:b w:val="1"/>
          <w:bCs w:val="1"/>
          <w:i w:val="0"/>
          <w:iCs w:val="0"/>
          <w:caps w:val="0"/>
          <w:smallCaps w:val="0"/>
          <w:noProof w:val="0"/>
          <w:color w:val="242424"/>
          <w:sz w:val="22"/>
          <w:szCs w:val="22"/>
          <w:lang w:val="en-US"/>
        </w:rPr>
        <w:t>Documentation</w:t>
      </w:r>
      <w:r w:rsidRPr="5FE0598C" w:rsidR="54CBA657">
        <w:rPr>
          <w:rFonts w:ascii="Calibri" w:hAnsi="Calibri" w:eastAsia="Calibri" w:cs="Calibri"/>
          <w:b w:val="0"/>
          <w:bCs w:val="0"/>
          <w:i w:val="0"/>
          <w:iCs w:val="0"/>
          <w:caps w:val="0"/>
          <w:smallCaps w:val="0"/>
          <w:noProof w:val="0"/>
          <w:color w:val="242424"/>
          <w:sz w:val="22"/>
          <w:szCs w:val="22"/>
          <w:lang w:val="en-US"/>
        </w:rPr>
        <w:t xml:space="preserve">: At the follow up visit, a new D1a form is completed, capturing any updated clinical diagnosis, and a new D1b form is used to document the etiologic diagnosis, now incorporating the biomarker information, if relevant. The original forms from the </w:t>
      </w:r>
      <w:r w:rsidRPr="5FE0598C" w:rsidR="1DA639E8">
        <w:rPr>
          <w:rFonts w:ascii="Calibri" w:hAnsi="Calibri" w:eastAsia="Calibri" w:cs="Calibri"/>
          <w:b w:val="0"/>
          <w:bCs w:val="0"/>
          <w:i w:val="0"/>
          <w:iCs w:val="0"/>
          <w:caps w:val="0"/>
          <w:smallCaps w:val="0"/>
          <w:noProof w:val="0"/>
          <w:color w:val="242424"/>
          <w:sz w:val="22"/>
          <w:szCs w:val="22"/>
          <w:lang w:val="en-US"/>
        </w:rPr>
        <w:t>previous</w:t>
      </w:r>
      <w:r w:rsidRPr="5FE0598C" w:rsidR="1DA639E8">
        <w:rPr>
          <w:rFonts w:ascii="Calibri" w:hAnsi="Calibri" w:eastAsia="Calibri" w:cs="Calibri"/>
          <w:b w:val="0"/>
          <w:bCs w:val="0"/>
          <w:i w:val="0"/>
          <w:iCs w:val="0"/>
          <w:caps w:val="0"/>
          <w:smallCaps w:val="0"/>
          <w:noProof w:val="0"/>
          <w:color w:val="242424"/>
          <w:sz w:val="22"/>
          <w:szCs w:val="22"/>
          <w:lang w:val="en-US"/>
        </w:rPr>
        <w:t xml:space="preserve"> UDS visit and </w:t>
      </w:r>
      <w:r w:rsidRPr="5FE0598C" w:rsidR="54CBA657">
        <w:rPr>
          <w:rFonts w:ascii="Calibri" w:hAnsi="Calibri" w:eastAsia="Calibri" w:cs="Calibri"/>
          <w:b w:val="0"/>
          <w:bCs w:val="0"/>
          <w:i w:val="0"/>
          <w:iCs w:val="0"/>
          <w:caps w:val="0"/>
          <w:smallCaps w:val="0"/>
          <w:noProof w:val="0"/>
          <w:color w:val="242424"/>
          <w:sz w:val="22"/>
          <w:szCs w:val="22"/>
          <w:lang w:val="en-US"/>
        </w:rPr>
        <w:t>prior diagnosis remain unchanged, as they accurately reflect the clinical judgment made with the information available at that earlier time.</w:t>
      </w:r>
    </w:p>
    <w:p xmlns:wp14="http://schemas.microsoft.com/office/word/2010/wordml" w:rsidP="65B7F881" wp14:paraId="25FACCCA" wp14:textId="6B5B943C">
      <w:pPr>
        <w:shd w:val="clear" w:color="auto" w:fill="FFFFFF" w:themeFill="background1"/>
        <w:spacing w:before="0" w:beforeAutospacing="off" w:after="0" w:afterAutospacing="off"/>
        <w:jc w:val="center"/>
      </w:pPr>
    </w:p>
    <w:p xmlns:wp14="http://schemas.microsoft.com/office/word/2010/wordml" w:rsidP="65B7F881" wp14:paraId="79C47FF9" wp14:textId="58EFE64C">
      <w:pPr>
        <w:shd w:val="clear" w:color="auto" w:fill="FFFFFF" w:themeFill="background1"/>
        <w:spacing w:before="0" w:beforeAutospacing="off" w:after="0" w:afterAutospacing="off"/>
      </w:pPr>
      <w:r w:rsidRPr="65B7F881" w:rsidR="54CBA657">
        <w:rPr>
          <w:rFonts w:ascii="Calibri" w:hAnsi="Calibri" w:eastAsia="Calibri" w:cs="Calibri"/>
          <w:b w:val="1"/>
          <w:bCs w:val="1"/>
          <w:i w:val="0"/>
          <w:iCs w:val="0"/>
          <w:caps w:val="0"/>
          <w:smallCaps w:val="0"/>
          <w:noProof w:val="0"/>
          <w:color w:val="242424"/>
          <w:sz w:val="27"/>
          <w:szCs w:val="27"/>
          <w:lang w:val="en-US"/>
        </w:rPr>
        <w:t>Summary</w:t>
      </w:r>
    </w:p>
    <w:p xmlns:wp14="http://schemas.microsoft.com/office/word/2010/wordml" w:rsidP="5FE0598C" wp14:paraId="2C078E63" wp14:textId="2165B496">
      <w:pPr>
        <w:shd w:val="clear" w:color="auto" w:fill="FFFFFF" w:themeFill="background1"/>
        <w:spacing w:before="0" w:beforeAutospacing="off" w:after="0" w:afterAutospacing="off"/>
      </w:pPr>
      <w:r w:rsidRPr="5FE0598C" w:rsidR="54CBA657">
        <w:rPr>
          <w:rFonts w:ascii="Calibri" w:hAnsi="Calibri" w:eastAsia="Calibri" w:cs="Calibri"/>
          <w:b w:val="0"/>
          <w:bCs w:val="0"/>
          <w:i w:val="0"/>
          <w:iCs w:val="0"/>
          <w:caps w:val="0"/>
          <w:smallCaps w:val="0"/>
          <w:noProof w:val="0"/>
          <w:color w:val="242424"/>
          <w:sz w:val="22"/>
          <w:szCs w:val="22"/>
          <w:lang w:val="en-US"/>
        </w:rPr>
        <w:t xml:space="preserve">The D1a and D1b forms ensure clarity about what data were used in making an etiologic diagnosis at the time of the consensus conference. The aim is to provide a comprehensive yet flexible framework that accommodates varying timelines for biomarker data availability while </w:t>
      </w:r>
      <w:r w:rsidRPr="5FE0598C" w:rsidR="54CBA657">
        <w:rPr>
          <w:rFonts w:ascii="Calibri" w:hAnsi="Calibri" w:eastAsia="Calibri" w:cs="Calibri"/>
          <w:b w:val="0"/>
          <w:bCs w:val="0"/>
          <w:i w:val="0"/>
          <w:iCs w:val="0"/>
          <w:caps w:val="0"/>
          <w:smallCaps w:val="0"/>
          <w:noProof w:val="0"/>
          <w:color w:val="242424"/>
          <w:sz w:val="22"/>
          <w:szCs w:val="22"/>
          <w:lang w:val="en-US"/>
        </w:rPr>
        <w:t>maintaining</w:t>
      </w:r>
      <w:r w:rsidRPr="5FE0598C" w:rsidR="54CBA657">
        <w:rPr>
          <w:rFonts w:ascii="Calibri" w:hAnsi="Calibri" w:eastAsia="Calibri" w:cs="Calibri"/>
          <w:b w:val="0"/>
          <w:bCs w:val="0"/>
          <w:i w:val="0"/>
          <w:iCs w:val="0"/>
          <w:caps w:val="0"/>
          <w:smallCaps w:val="0"/>
          <w:noProof w:val="0"/>
          <w:color w:val="242424"/>
          <w:sz w:val="22"/>
          <w:szCs w:val="22"/>
          <w:lang w:val="en-US"/>
        </w:rPr>
        <w:t xml:space="preserve"> data integrity. Sites can choose how to integrate biomarker information into their diagnostic process, and future clinical judgments should document any newly used biomarker data. This approach prevents the need for continuous updates to past diagnoses and ensures that all diagnostic decisions are based on the information available at the relevant time.</w:t>
      </w:r>
    </w:p>
    <w:sectPr>
      <w:pgSz w:w="12240" w:h="15840" w:orient="portrait"/>
      <w:pgMar w:top="1440" w:right="1440" w:bottom="1440" w:left="1440" w:header="720" w:footer="720" w:gutter="0"/>
      <w:cols w:space="720"/>
      <w:docGrid w:linePitch="360"/>
      <w:headerReference w:type="default" r:id="R18eafc776bce474c"/>
      <w:footerReference w:type="default" r:id="Rc9191fb566ce4f4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262B22" w:rsidTr="20262B22" w14:paraId="51E2AD90">
      <w:trPr>
        <w:trHeight w:val="300"/>
      </w:trPr>
      <w:tc>
        <w:tcPr>
          <w:tcW w:w="3120" w:type="dxa"/>
          <w:tcMar/>
        </w:tcPr>
        <w:p w:rsidR="20262B22" w:rsidP="20262B22" w:rsidRDefault="20262B22" w14:paraId="2378E595" w14:textId="09F5B9F7">
          <w:pPr>
            <w:pStyle w:val="Header"/>
            <w:bidi w:val="0"/>
            <w:ind w:left="-115"/>
            <w:jc w:val="left"/>
          </w:pPr>
        </w:p>
      </w:tc>
      <w:tc>
        <w:tcPr>
          <w:tcW w:w="3120" w:type="dxa"/>
          <w:tcMar/>
        </w:tcPr>
        <w:p w:rsidR="20262B22" w:rsidP="20262B22" w:rsidRDefault="20262B22" w14:paraId="24567EAC" w14:textId="3F1D4BC6">
          <w:pPr>
            <w:pStyle w:val="Header"/>
            <w:bidi w:val="0"/>
            <w:jc w:val="center"/>
          </w:pPr>
        </w:p>
      </w:tc>
      <w:tc>
        <w:tcPr>
          <w:tcW w:w="3120" w:type="dxa"/>
          <w:tcMar/>
        </w:tcPr>
        <w:p w:rsidR="20262B22" w:rsidP="20262B22" w:rsidRDefault="20262B22" w14:paraId="5AEC4956" w14:textId="6F45BCF6">
          <w:pPr>
            <w:pStyle w:val="Header"/>
            <w:bidi w:val="0"/>
            <w:ind w:right="-115"/>
            <w:jc w:val="right"/>
          </w:pPr>
        </w:p>
      </w:tc>
    </w:tr>
  </w:tbl>
  <w:p w:rsidR="20262B22" w:rsidP="20262B22" w:rsidRDefault="20262B22" w14:paraId="29FC743F" w14:textId="3E5EF99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262B22" w:rsidTr="20262B22" w14:paraId="1756C927">
      <w:trPr>
        <w:trHeight w:val="300"/>
      </w:trPr>
      <w:tc>
        <w:tcPr>
          <w:tcW w:w="3120" w:type="dxa"/>
          <w:tcMar/>
        </w:tcPr>
        <w:p w:rsidR="20262B22" w:rsidP="20262B22" w:rsidRDefault="20262B22" w14:paraId="426FF435" w14:textId="72139437">
          <w:pPr>
            <w:pStyle w:val="Header"/>
            <w:bidi w:val="0"/>
            <w:ind w:left="-115"/>
            <w:jc w:val="left"/>
          </w:pPr>
          <w:r w:rsidR="20262B22">
            <w:rPr/>
            <w:t>Last updated: 2/04/2025</w:t>
          </w:r>
        </w:p>
      </w:tc>
      <w:tc>
        <w:tcPr>
          <w:tcW w:w="3120" w:type="dxa"/>
          <w:tcMar/>
        </w:tcPr>
        <w:p w:rsidR="20262B22" w:rsidP="20262B22" w:rsidRDefault="20262B22" w14:paraId="1C33161C" w14:textId="505F3AA3">
          <w:pPr>
            <w:pStyle w:val="Header"/>
            <w:bidi w:val="0"/>
            <w:jc w:val="center"/>
          </w:pPr>
        </w:p>
      </w:tc>
      <w:tc>
        <w:tcPr>
          <w:tcW w:w="3120" w:type="dxa"/>
          <w:tcMar/>
        </w:tcPr>
        <w:p w:rsidR="20262B22" w:rsidP="20262B22" w:rsidRDefault="20262B22" w14:paraId="0DB93750" w14:textId="17E54EC1">
          <w:pPr>
            <w:pStyle w:val="Header"/>
            <w:bidi w:val="0"/>
            <w:ind w:right="-115"/>
            <w:jc w:val="right"/>
          </w:pPr>
        </w:p>
      </w:tc>
    </w:tr>
  </w:tbl>
  <w:p w:rsidR="20262B22" w:rsidP="20262B22" w:rsidRDefault="20262B22" w14:paraId="0A1E90D3" w14:textId="216E99C0">
    <w:pPr>
      <w:pStyle w:val="Header"/>
      <w:bidi w:val="0"/>
    </w:pPr>
  </w:p>
</w:hdr>
</file>

<file path=word/numbering.xml><?xml version="1.0" encoding="utf-8"?>
<w:numbering xmlns:w="http://schemas.openxmlformats.org/wordprocessingml/2006/main">
  <w:abstractNum xmlns:w="http://schemas.openxmlformats.org/wordprocessingml/2006/main" w:abstractNumId="5">
    <w:nsid w:val="b808c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3517c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cd1a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76bf9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780c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7FB71A"/>
    <w:rsid w:val="02D02D39"/>
    <w:rsid w:val="053BCC63"/>
    <w:rsid w:val="05B5B69B"/>
    <w:rsid w:val="0896D782"/>
    <w:rsid w:val="0F2F284E"/>
    <w:rsid w:val="10E3D281"/>
    <w:rsid w:val="11B30308"/>
    <w:rsid w:val="13F90D4C"/>
    <w:rsid w:val="16AE9123"/>
    <w:rsid w:val="16DE804A"/>
    <w:rsid w:val="18EE10F8"/>
    <w:rsid w:val="1A34EAEE"/>
    <w:rsid w:val="1B5D1ACC"/>
    <w:rsid w:val="1DA639E8"/>
    <w:rsid w:val="20262B22"/>
    <w:rsid w:val="20897127"/>
    <w:rsid w:val="237A127A"/>
    <w:rsid w:val="23F96344"/>
    <w:rsid w:val="27AAC500"/>
    <w:rsid w:val="298670AE"/>
    <w:rsid w:val="2A00647A"/>
    <w:rsid w:val="2BA1A375"/>
    <w:rsid w:val="2ED61B35"/>
    <w:rsid w:val="303DC68D"/>
    <w:rsid w:val="3088B1D6"/>
    <w:rsid w:val="358CCFC9"/>
    <w:rsid w:val="39E95EBA"/>
    <w:rsid w:val="3A6447B8"/>
    <w:rsid w:val="3B20BFDF"/>
    <w:rsid w:val="3C69F04D"/>
    <w:rsid w:val="3D8E5C4D"/>
    <w:rsid w:val="3EE287EB"/>
    <w:rsid w:val="417FB71A"/>
    <w:rsid w:val="4513B4EE"/>
    <w:rsid w:val="48E53462"/>
    <w:rsid w:val="4DDD04EA"/>
    <w:rsid w:val="50942949"/>
    <w:rsid w:val="51A47AFB"/>
    <w:rsid w:val="525F2449"/>
    <w:rsid w:val="54CBA657"/>
    <w:rsid w:val="558DA0D7"/>
    <w:rsid w:val="577C7CF4"/>
    <w:rsid w:val="5947F7EC"/>
    <w:rsid w:val="5BBA91E5"/>
    <w:rsid w:val="5E10F90F"/>
    <w:rsid w:val="5F8256F9"/>
    <w:rsid w:val="5FE0598C"/>
    <w:rsid w:val="6019BD93"/>
    <w:rsid w:val="61E08BDA"/>
    <w:rsid w:val="63AA777E"/>
    <w:rsid w:val="63C1CA3D"/>
    <w:rsid w:val="65B7F881"/>
    <w:rsid w:val="66E13395"/>
    <w:rsid w:val="6702E80B"/>
    <w:rsid w:val="6726A73B"/>
    <w:rsid w:val="6A818F42"/>
    <w:rsid w:val="6B486E3B"/>
    <w:rsid w:val="6F093B11"/>
    <w:rsid w:val="72C5010B"/>
    <w:rsid w:val="72D86763"/>
    <w:rsid w:val="73ABD720"/>
    <w:rsid w:val="74D2EE46"/>
    <w:rsid w:val="75681A89"/>
    <w:rsid w:val="77715E74"/>
    <w:rsid w:val="798AFB0A"/>
    <w:rsid w:val="7A5816D0"/>
    <w:rsid w:val="7AD1B2E9"/>
    <w:rsid w:val="7D8FE432"/>
    <w:rsid w:val="7F5AC522"/>
    <w:rsid w:val="7FD38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B71A"/>
  <w15:chartTrackingRefBased/>
  <w15:docId w15:val="{F2D2AA4E-D0B8-46EB-8DBF-8C02FA127C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20262B22"/>
    <w:pPr>
      <w:tabs>
        <w:tab w:val="center" w:leader="none" w:pos="4680"/>
        <w:tab w:val="right" w:leader="none" w:pos="9360"/>
      </w:tabs>
      <w:spacing w:after="0" w:line="240" w:lineRule="auto"/>
    </w:pPr>
  </w:style>
  <w:style w:type="paragraph" w:styleId="Footer">
    <w:uiPriority w:val="99"/>
    <w:name w:val="footer"/>
    <w:basedOn w:val="Normal"/>
    <w:unhideWhenUsed/>
    <w:rsid w:val="20262B2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3ca50d8f844e7a" /><Relationship Type="http://schemas.microsoft.com/office/2011/relationships/people" Target="people.xml" Id="Rfc0d88e3a7ae4312" /><Relationship Type="http://schemas.microsoft.com/office/2011/relationships/commentsExtended" Target="commentsExtended.xml" Id="Red202d2b0d0642bd" /><Relationship Type="http://schemas.microsoft.com/office/2016/09/relationships/commentsIds" Target="commentsIds.xml" Id="R6ef14af4be754803" /><Relationship Type="http://schemas.openxmlformats.org/officeDocument/2006/relationships/header" Target="header.xml" Id="R18eafc776bce474c" /><Relationship Type="http://schemas.openxmlformats.org/officeDocument/2006/relationships/footer" Target="footer.xml" Id="Rc9191fb566ce4f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EFEFAD17A4B43A8378381BF28CF4F" ma:contentTypeVersion="17" ma:contentTypeDescription="Create a new document." ma:contentTypeScope="" ma:versionID="61556453c3d4cfbe4714da52328c09a3">
  <xsd:schema xmlns:xsd="http://www.w3.org/2001/XMLSchema" xmlns:xs="http://www.w3.org/2001/XMLSchema" xmlns:p="http://schemas.microsoft.com/office/2006/metadata/properties" xmlns:ns2="38934ba0-d0c8-4ff1-b39d-50890708cb62" xmlns:ns3="ab06a5aa-8e31-4bdb-9b13-38c58a92ec8a" xmlns:ns4="ab274330-b409-4ff8-b8ad-c1dc18cc66a1" targetNamespace="http://schemas.microsoft.com/office/2006/metadata/properties" ma:root="true" ma:fieldsID="b8714ab872510242edcc52d3716bf4cc" ns2:_="" ns3:_="" ns4:_="">
    <xsd:import namespace="38934ba0-d0c8-4ff1-b39d-50890708cb62"/>
    <xsd:import namespace="ab06a5aa-8e31-4bdb-9b13-38c58a92ec8a"/>
    <xsd:import namespace="ab274330-b409-4ff8-b8ad-c1dc18cc6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4ba0-d0c8-4ff1-b39d-50890708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46acf4-3181-4eb1-9820-99773aa5b63f}" ma:internalName="TaxCatchAll" ma:showField="CatchAllData" ma:web="ab274330-b409-4ff8-b8ad-c1dc18cc66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74330-b409-4ff8-b8ad-c1dc18cc66a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934ba0-d0c8-4ff1-b39d-50890708cb62">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CC6E3877-97DD-44C8-A555-764E3B5362EC}"/>
</file>

<file path=customXml/itemProps2.xml><?xml version="1.0" encoding="utf-8"?>
<ds:datastoreItem xmlns:ds="http://schemas.openxmlformats.org/officeDocument/2006/customXml" ds:itemID="{E3A03298-10AC-4CC5-A5F2-0CEDA703B821}"/>
</file>

<file path=customXml/itemProps3.xml><?xml version="1.0" encoding="utf-8"?>
<ds:datastoreItem xmlns:ds="http://schemas.openxmlformats.org/officeDocument/2006/customXml" ds:itemID="{27E79ADA-5221-48CF-A39D-A1DD49A471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Gauthreaux</dc:creator>
  <keywords/>
  <dc:description/>
  <lastModifiedBy>Kathryn Gauthreaux</lastModifiedBy>
  <dcterms:created xsi:type="dcterms:W3CDTF">2024-11-15T22:59:56.0000000Z</dcterms:created>
  <dcterms:modified xsi:type="dcterms:W3CDTF">2025-02-04T23:59:52.3087390Z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0x01010058BEFEFAD17A4B43A8378381BF28CF4F</vt:lpwstr>
  </property>
  <property fmtid="{D5CDD505-2E9C-101B-9397-08002B2CF9AE}" pid="3" name="MediaServiceImageTags">
    <vt:lpwstr/>
  </property>
</Properties>
</file>